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DE3E8">
      <w:pPr>
        <w:keepNext w:val="0"/>
        <w:keepLines w:val="0"/>
        <w:pageBreakBefore w:val="0"/>
        <w:tabs>
          <w:tab w:val="left" w:pos="567"/>
        </w:tabs>
        <w:kinsoku w:val="0"/>
        <w:wordWrap/>
        <w:overflowPunct/>
        <w:topLinePunct w:val="0"/>
        <w:autoSpaceDE w:val="0"/>
        <w:autoSpaceDN w:val="0"/>
        <w:bidi w:val="0"/>
        <w:adjustRightInd w:val="0"/>
        <w:snapToGrid w:val="0"/>
        <w:spacing w:before="240" w:after="240" w:line="360" w:lineRule="auto"/>
        <w:ind w:firstLine="482" w:firstLineChars="200"/>
        <w:textAlignment w:val="baseline"/>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总体要求</w:t>
      </w:r>
    </w:p>
    <w:p w14:paraId="02EA20E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1、项目概况</w:t>
      </w:r>
    </w:p>
    <w:p w14:paraId="6AFC6EB7">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 项目规模：对瑞昌市全市公共机构能源费用进行托管、节能改造。能源费用托管费用预算</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eastAsia="zh-CN"/>
        </w:rPr>
        <w:t>3600万元/年</w:t>
      </w:r>
      <w:bookmarkStart w:id="20" w:name="_GoBack"/>
      <w:bookmarkEnd w:id="20"/>
      <w:r>
        <w:rPr>
          <w:rFonts w:hint="eastAsia" w:ascii="宋体" w:hAnsi="宋体" w:eastAsia="宋体" w:cs="宋体"/>
          <w:color w:val="auto"/>
          <w:sz w:val="24"/>
          <w:szCs w:val="24"/>
          <w:lang w:eastAsia="zh-CN"/>
        </w:rPr>
        <w:t>。</w:t>
      </w:r>
    </w:p>
    <w:p w14:paraId="713062E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项目组成：通过对公共建筑包括：公共机关、学校、医院、事业单位等用能单位能源总托管，托管时间10年。</w:t>
      </w:r>
    </w:p>
    <w:p w14:paraId="684F5BEF">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 项目背景</w:t>
      </w:r>
    </w:p>
    <w:p w14:paraId="4786D131">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1.3.1 为深入学习贯彻习近平生态文明思想和习近平总书记关于机关事务工作的重要指示精神，坚决落实党中央、国务院关于碳达峰、碳中和决策部署，鼓励和支持公共机构采用能源费用托管服务，调动社会资本参与公共机构节约能源资源工作，加快推进公共机构绿色低碳转型，根据《国管局国家发展改革委财政部关于印发&lt;关于鼓励和支持公共机构采用能源费用托管服务的意见&gt;的通知》和《省管局发改委省财政厅&lt;江西省推进公共机构能源费用托管服务实施意见&gt;的通知》等政策文件要求，围绕“降本、提效、示范”目标，以市场化、专业化为导向，通过能源费用托管模式引入优质节能服务企业，对全市市直单位及乡镇（区）公共机构的电、气、水系统实施节能改造、运行管理与维护保养，降低能源消耗总量及单位能耗成本，提升能源管理效能，助力我市绿色低碳转型。</w:t>
      </w:r>
    </w:p>
    <w:p w14:paraId="1A1417D3">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1.3.2 全市各类公共机构154家，建筑相对分散，老旧用能设施设备多，改造资金缺口大，市场化主体培育不充分。推动我市公共机构能源费用托管服务，有助于提高节能管理专业化水平，切实降低机关运行成本，提高资源利用效率；有助于解决公共机关节能改造资金不足、减轻对财政资金的依赖具有现实意义，对全社会能源资源节约具有典范引领作用，对实现经济社会绿色低碳转型发展具有重要意义。</w:t>
      </w:r>
    </w:p>
    <w:p w14:paraId="0FE2B70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1.3.3 合同期内，各单位产生的的电费、水费、燃气费由中标人进行支付。采购人配合中标人完成电力分割、燃气表及水表过户事项（过户费用由中标人承担）。中标人必须及时、足额缴纳电费、水费及燃气费，保障各单位用电、用水、用气及时供应，不得以任何理由拖延缴费，否则视为根本违约，采购人有权从托管费中直接扣减并予以垫付，中标人须另行赔付违约金20万元。</w:t>
      </w:r>
    </w:p>
    <w:p w14:paraId="07940B9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2、项目建设方案</w:t>
      </w:r>
    </w:p>
    <w:p w14:paraId="558D725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根据瑞昌市各公共机构用能系统实际情况，寻找节能潜力，实施包括在节能设备方面进行投入，采用能效更高的照明系统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采用高效节能的空调设备和系统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利用地热资源进行供暖或制冷，提高能源利用效率等一系列综合节能改造，降低整体能源消耗。改造工作内容包括但不限于以下内容</w:t>
      </w:r>
      <w:r>
        <w:rPr>
          <w:rFonts w:hint="eastAsia" w:ascii="宋体" w:hAnsi="宋体" w:eastAsia="宋体" w:cs="宋体"/>
          <w:color w:val="auto"/>
          <w:sz w:val="24"/>
          <w:szCs w:val="24"/>
          <w:lang w:eastAsia="zh-CN"/>
        </w:rPr>
        <w:t>：能源供应、节能技改及技术优化、智慧能碳管理运营平台建设、项目能源运营服务、运行维护服务等。</w:t>
      </w:r>
    </w:p>
    <w:p w14:paraId="2E68C003">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搭建瑞昌市公共机构智慧能碳管理平台</w:t>
      </w:r>
    </w:p>
    <w:p w14:paraId="039AFA5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搭建瑞昌市公共机构能碳管理平台，将能源托管单位的用能数据统一接入平台、通过数据采集，平台对接和在线填报等多种方式，获取用能单位能耗和碳排放的基础数据，基于能耗和碳排放计算模型和因子库自动完成数据核算，打造能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碳资产管理的应用体系，摸清全市公共机构的"碳家底"，精准描绘全市各公共机构的能耗、碳排放的全貌。通过对各个机构的能源使用情况进行实时监测和趋势分析，自动发掘降碳空间并开展节能治理工作，建立节能降碳有效机制，构建绿色低碳循环经济体系，助力城市零碳目标。</w:t>
      </w:r>
    </w:p>
    <w:p w14:paraId="3FCD60E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2.1.1 数据采集功能。通过利用采集分类以及对能耗数据计量分项等，为能耗数据精细化管理提供相应的数据。采集得到的数据需要存储在本地服务器中，并且还可以让托管单位访问，便于相关人员对能耗数据进行相应的监控与管理，便于上级管理部门对能源的数据汇总进行统筹安排与管理。</w:t>
      </w:r>
    </w:p>
    <w:p w14:paraId="1A78D4DC">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2.1.2 数据监测功能。利用数据表格与图表的模式，将采集得到的电、水、气、空调、照明等相关数据在综合智慧能碳管理平台中进行显示和实时监控。及时对数据统计信息进行更新，并将数据以图表方式或者文档的形式，在PC端或APP端上进行显示，有效避免设备由于过热或者电压不足等情况发生故障，提升系统的稳定性、安全性。</w:t>
      </w:r>
    </w:p>
    <w:p w14:paraId="288ABA0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2.1.3 能耗统计分析功能。对能耗的数据、能耗分项以及区域能耗和能耗指标等进行统计。利用分析算法工具对能源消耗的数据进行计算与分析，分类成建筑能耗、区域能耗等类型计量数据，从而汇总成统一的能耗值，实现对能耗水平进行综合分析与对比。实现建筑能耗的分类分项计量、管理、统计功能；动态实时监测能耗数据和运行参数；可按年、月、日、时和任意时段查询、分析数据；并可基于历史数据提供能耗数据查询、展示和对比分析；能耗结构、能耗趋势、指标对比展示的功能。</w:t>
      </w:r>
    </w:p>
    <w:p w14:paraId="6D0FDB5C">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2.1.4 智慧能源管理功能。将能源计划、能源的管控以及统计分析等下放到各个单位当中，从而使得节能工作责任得到明确。对不同单位的能源消耗水平，设置定额用能时限，以此达到节能减排，使得能源的利用效率进一步提升。</w:t>
      </w:r>
    </w:p>
    <w:p w14:paraId="145F4E7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2.1.5 </w:t>
      </w:r>
      <w:r>
        <w:rPr>
          <w:rFonts w:hint="eastAsia" w:ascii="宋体" w:hAnsi="宋体" w:eastAsia="宋体" w:cs="宋体"/>
          <w:color w:val="auto"/>
          <w:sz w:val="24"/>
          <w:szCs w:val="24"/>
          <w:lang w:eastAsia="zh-CN"/>
        </w:rPr>
        <w:t>智能故障诊断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智能分析功能主要包含健康状况分析、设备状态分析以及故障诊断分析功能。通过智慧能源平台，在保障用电、用能安全的同时，通过实施精准供能、分区分时供能，实现节能降碳的效果;通过电能质量治理以及能流平衡系统对谐波、谐振、三相不平衡进行治理，确保用电、用能安全。</w:t>
      </w:r>
    </w:p>
    <w:p w14:paraId="2750D57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2.1.6 </w:t>
      </w:r>
      <w:r>
        <w:rPr>
          <w:rFonts w:hint="eastAsia" w:ascii="宋体" w:hAnsi="宋体" w:eastAsia="宋体" w:cs="宋体"/>
          <w:color w:val="auto"/>
          <w:sz w:val="24"/>
          <w:szCs w:val="24"/>
          <w:lang w:eastAsia="zh-CN"/>
        </w:rPr>
        <w:t>智能监控功能。包含配电网系统监控、分布式发电系统监控以及负荷监控等供热供冷系统检测监控，以此实现对不同类型的能源系统设备工作状态以及运行的数据进行全面的实时监控，利用三维可视化技术展现。并借助平台下发相应的操作指令，进行现场设备控制。实时监测:采集温湿度、电压、电流、烟雾、水浸等环境及电力参数，异常时自动告警(微信/短信/邮件)。远程控制:通过平台远程启停风机、除湿机、空调等设备，支持高清摄像头实时查看配电室画面。</w:t>
      </w:r>
    </w:p>
    <w:p w14:paraId="6319E13D">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智能分析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A1算法识别设备状态(如触点温度、柜体异常)，生成巡检报告并预警。</w:t>
      </w:r>
    </w:p>
    <w:p w14:paraId="72E2C50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通过智能监控系统实现远程监控、自动巡检和数据分析等功能，实现用能智能化管理，减少运维人员，确保配电室安全稳定运行。</w:t>
      </w:r>
    </w:p>
    <w:p w14:paraId="00ADEF5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空调智能化改造</w:t>
      </w:r>
    </w:p>
    <w:p w14:paraId="2BC3CD3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对公共机构加装空调智能远程控制器，压力传感器、温度传感器、智控阀门等多种智能设备，进行远程实时通讯，数据采集，数据分析，逻辑计算，策略执行等多种手段达到空调系统的节能功能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通过对温度和人体感应的综合管控，智能控制空调节能运行。同时，可以实现定时开关、温度控制、特定时间的智能使用，空调故障报警等功能，使远程控制更智能。</w:t>
      </w:r>
    </w:p>
    <w:p w14:paraId="11A4DDC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2.3 </w:t>
      </w:r>
      <w:r>
        <w:rPr>
          <w:rFonts w:hint="eastAsia" w:ascii="宋体" w:hAnsi="宋体" w:eastAsia="宋体" w:cs="宋体"/>
          <w:color w:val="auto"/>
          <w:sz w:val="24"/>
          <w:szCs w:val="24"/>
          <w:lang w:eastAsia="zh-CN"/>
        </w:rPr>
        <w:t>智慧照明</w:t>
      </w:r>
    </w:p>
    <w:p w14:paraId="7CDCC0A4">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将公共机构灯具更换为高智能、高性能、高节能、高光效、低能耗、维护简便的物联网灯具，在提升照明效果的前提下大幅度降低照明用电量。灯具需采用雷达微波感应+Mesh组网+数字APP控制+定时开关调光+云平台监控等功能为一体，实现自动感知现场空间内照明状况和需求的自动照明控制。</w:t>
      </w:r>
    </w:p>
    <w:p w14:paraId="3BD7559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2.4 </w:t>
      </w:r>
      <w:r>
        <w:rPr>
          <w:rFonts w:hint="eastAsia" w:ascii="宋体" w:hAnsi="宋体" w:eastAsia="宋体" w:cs="宋体"/>
          <w:color w:val="auto"/>
          <w:sz w:val="24"/>
          <w:szCs w:val="24"/>
          <w:lang w:eastAsia="zh-CN"/>
        </w:rPr>
        <w:t>配电室改造</w:t>
      </w:r>
    </w:p>
    <w:p w14:paraId="4EFC5E32">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配电室智能电表改造，设备加装采集网关。现场安装能源计量表具、实现本地化能源管理数字化基础设施的部署和安装。本地化能源管理数字化基础设施的建设内容包括但不限于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用电计量、照明回路控制、空调新风系统控制、人体存在感知控制等。通过全面的能耗采集，实现分级计量及用能分摊，并分析各机构能耗现状，发现各公共机构实际运营中存在的各类用能问题，实现能源精细化管理。</w:t>
      </w:r>
    </w:p>
    <w:p w14:paraId="42B68F2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2.5 </w:t>
      </w:r>
      <w:r>
        <w:rPr>
          <w:rFonts w:hint="eastAsia" w:ascii="宋体" w:hAnsi="宋体" w:eastAsia="宋体" w:cs="宋体"/>
          <w:color w:val="auto"/>
          <w:sz w:val="24"/>
          <w:szCs w:val="24"/>
          <w:lang w:eastAsia="zh-CN"/>
        </w:rPr>
        <w:t>其他节能改造内容</w:t>
      </w:r>
    </w:p>
    <w:p w14:paraId="709F006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中标人</w:t>
      </w:r>
      <w:r>
        <w:rPr>
          <w:rFonts w:hint="eastAsia" w:ascii="宋体" w:hAnsi="宋体" w:eastAsia="宋体" w:cs="宋体"/>
          <w:color w:val="auto"/>
          <w:sz w:val="24"/>
          <w:szCs w:val="24"/>
          <w:lang w:eastAsia="zh-CN"/>
        </w:rPr>
        <w:t>经现场考察后可提出其他类别节能改造方案建议。改造方案须合理、科学，能够准确地计算出改造后的能耗水平及节能量。</w:t>
      </w:r>
    </w:p>
    <w:p w14:paraId="1EDFF1A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3、实施步骤</w:t>
      </w:r>
    </w:p>
    <w:p w14:paraId="1045383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按照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分类分批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实施原则，我市公共机构能源托管工作分三个阶段进行</w:t>
      </w:r>
      <w:r>
        <w:rPr>
          <w:rFonts w:hint="eastAsia" w:ascii="宋体" w:hAnsi="宋体" w:eastAsia="宋体" w:cs="宋体"/>
          <w:color w:val="auto"/>
          <w:sz w:val="24"/>
          <w:szCs w:val="24"/>
          <w:lang w:eastAsia="zh-CN"/>
        </w:rPr>
        <w:t>：</w:t>
      </w:r>
    </w:p>
    <w:p w14:paraId="4A89FBC1">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3.1 </w:t>
      </w:r>
      <w:r>
        <w:rPr>
          <w:rFonts w:hint="eastAsia" w:ascii="宋体" w:hAnsi="宋体" w:eastAsia="宋体" w:cs="宋体"/>
          <w:color w:val="auto"/>
          <w:sz w:val="24"/>
          <w:szCs w:val="24"/>
          <w:lang w:eastAsia="zh-CN"/>
        </w:rPr>
        <w:t>初步试行阶段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2027年6月</w:t>
      </w:r>
      <w:r>
        <w:rPr>
          <w:rFonts w:hint="eastAsia" w:ascii="宋体" w:hAnsi="宋体" w:eastAsia="宋体" w:cs="宋体"/>
          <w:color w:val="auto"/>
          <w:sz w:val="24"/>
          <w:szCs w:val="24"/>
          <w:lang w:eastAsia="zh-CN"/>
        </w:rPr>
        <w:t>前</w:t>
      </w:r>
      <w:r>
        <w:rPr>
          <w:rFonts w:hint="eastAsia" w:ascii="宋体" w:hAnsi="宋体" w:eastAsia="宋体" w:cs="宋体"/>
          <w:color w:val="auto"/>
          <w:sz w:val="24"/>
          <w:szCs w:val="24"/>
          <w:lang w:eastAsia="zh-CN"/>
        </w:rPr>
        <w:t>)启动第一批公共机构能源托管项目，</w:t>
      </w:r>
      <w:r>
        <w:rPr>
          <w:rFonts w:hint="eastAsia" w:ascii="宋体" w:hAnsi="宋体" w:eastAsia="宋体" w:cs="宋体"/>
          <w:color w:val="auto"/>
          <w:sz w:val="24"/>
          <w:szCs w:val="24"/>
          <w:lang w:eastAsia="zh-CN"/>
        </w:rPr>
        <w:t>完成不少于</w:t>
      </w:r>
      <w:r>
        <w:rPr>
          <w:rFonts w:hint="eastAsia" w:ascii="宋体" w:hAnsi="宋体" w:eastAsia="宋体" w:cs="宋体"/>
          <w:color w:val="auto"/>
          <w:sz w:val="24"/>
          <w:szCs w:val="24"/>
          <w:lang w:eastAsia="zh-CN"/>
        </w:rPr>
        <w:t>30家</w:t>
      </w:r>
      <w:r>
        <w:rPr>
          <w:rFonts w:hint="eastAsia" w:ascii="宋体" w:hAnsi="宋体" w:eastAsia="宋体" w:cs="宋体"/>
          <w:color w:val="auto"/>
          <w:sz w:val="24"/>
          <w:szCs w:val="24"/>
          <w:lang w:eastAsia="zh-CN"/>
        </w:rPr>
        <w:t>公共机构</w:t>
      </w:r>
      <w:r>
        <w:rPr>
          <w:rFonts w:hint="eastAsia" w:ascii="宋体" w:hAnsi="宋体" w:eastAsia="宋体" w:cs="宋体"/>
          <w:color w:val="auto"/>
          <w:sz w:val="24"/>
          <w:szCs w:val="24"/>
          <w:lang w:eastAsia="zh-CN"/>
        </w:rPr>
        <w:t>。</w:t>
      </w:r>
    </w:p>
    <w:p w14:paraId="2A8C054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 逐步推进阶段(2027年7月一2028年7月)启动第二批不少于60家公共机构能源托管项目。</w:t>
      </w:r>
    </w:p>
    <w:p w14:paraId="58B3AA1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 全面推广阶段(2028年8月一2029年12月)完成第三批公共机构能源托管项目，实现公共机构的全面托管。对全市各公共机构开展的能源托管项目进行全面考核，查缺补漏，建立健全公共机构能源管理长效机制。</w:t>
      </w:r>
    </w:p>
    <w:p w14:paraId="7F92309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4、实施程序</w:t>
      </w:r>
    </w:p>
    <w:p w14:paraId="265FF092">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开展项目需提供系列服务，包括但不限于：节能诊断、节能方案设计、项目融资、设备采购、工程施工、安装调试、人员培训、运行维护管理、效果评估等。</w:t>
      </w:r>
    </w:p>
    <w:p w14:paraId="499CDC7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前期评估。由能源审计服务机构开展能源审计，以托管项目实施前1至3年为基期，以涉及的空间区域、用能系统为边界，对能耗水平进行诊断分析，并出具能源审计报告，确定能源基准。既有建筑的能源基准宜结合建筑用能设备设施、用能时段、用能人数、能源价格变化等因素，根据项目实施前1至3年的能耗及运维数据进行确认;新建建筑的能源基准宜结合设计方案和实际建成情况进行模拟测算。公共机构要对托管项目实施方案的技术可行性、经济合理性进行全面评估,明确托管范围、托管期限、托管费用、节能目标等。</w:t>
      </w:r>
    </w:p>
    <w:p w14:paraId="21C3A43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组织实施。托管项目实施前，公共机构要确保用能设备设施完整且正常运行，合同生效后及时交由节能服务公司运维管理。在项目托管期限内，公共机构要定期掌握用能设备设施运维状态、各项能耗及能源资源费用等项目运行情况，按照合同约定对节能服务公司的服务能力和服务质量进行监督。</w:t>
      </w:r>
    </w:p>
    <w:p w14:paraId="6980A98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项目调整。在项目托管期限内，如果托管项目边界范围、用能设备设施、用能人数、能源资源费用价格等发生重大变化，公共机构与节能服务公司可按照政府采购法律法规有关规定签订补充合同。</w:t>
      </w:r>
    </w:p>
    <w:p w14:paraId="07F47311">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4.4 后期评估。项目托管期限届满前1个月，节能服务公司要按照合同约定，对能源资源系统进行全面检修，保证用能设备设施完整且正常运行。公共机构宜委托第三方机构开展托管项目整体效果评估，并出具评估报告。</w:t>
      </w:r>
    </w:p>
    <w:p w14:paraId="47EF108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4.5 资产管理。项目托管期间，公共机构要加强对相关用能设备设施资产的管理，确保国有资产不流失。项目托管期限届满，节能服务公司按照合同约定，将其投资形成的项目资产移交给公共机构，公共机构按照国家统一的会计制度对移交的资产进行会计处理。项目产生的碳排放交易权、知识产权等权益归属由公共机构与节能服务公司双方在合同中约定。</w:t>
      </w:r>
    </w:p>
    <w:p w14:paraId="395A754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4.6 费用结算。公共机构按照预算管理有关规定，将托管费用列入单位预算。公共机构按照托管项目合同约定支付给节能服务公司的托管费用，视同能源资源及运维费用。</w:t>
      </w:r>
    </w:p>
    <w:p w14:paraId="5E51AA90">
      <w:pPr>
        <w:keepNext w:val="0"/>
        <w:keepLines w:val="0"/>
        <w:pageBreakBefore w:val="0"/>
        <w:tabs>
          <w:tab w:val="left" w:pos="567"/>
        </w:tabs>
        <w:kinsoku w:val="0"/>
        <w:wordWrap/>
        <w:overflowPunct/>
        <w:topLinePunct w:val="0"/>
        <w:autoSpaceDE w:val="0"/>
        <w:autoSpaceDN w:val="0"/>
        <w:bidi w:val="0"/>
        <w:adjustRightInd w:val="0"/>
        <w:snapToGrid w:val="0"/>
        <w:spacing w:before="240" w:after="240" w:line="360" w:lineRule="auto"/>
        <w:ind w:firstLine="482" w:firstLineChars="200"/>
        <w:textAlignment w:val="baseline"/>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（二）节能改造要求</w:t>
      </w:r>
    </w:p>
    <w:p w14:paraId="7E092FA0">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eastAsia="zh-CN"/>
        </w:rPr>
        <w:t>总体</w:t>
      </w:r>
      <w:r>
        <w:rPr>
          <w:rFonts w:hint="eastAsia" w:ascii="宋体" w:hAnsi="宋体" w:eastAsia="宋体" w:cs="宋体"/>
          <w:b/>
          <w:color w:val="auto"/>
          <w:sz w:val="24"/>
          <w:szCs w:val="24"/>
          <w:lang w:eastAsia="zh-CN"/>
        </w:rPr>
        <w:t>要求</w:t>
      </w:r>
    </w:p>
    <w:p w14:paraId="4174FABF">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1.1 </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lang w:eastAsia="zh-CN"/>
        </w:rPr>
        <w:t>供应商自行组织进行现场实际情况调研，并</w:t>
      </w:r>
      <w:r>
        <w:rPr>
          <w:rFonts w:hint="eastAsia" w:ascii="宋体" w:hAnsi="宋体" w:eastAsia="宋体" w:cs="宋体"/>
          <w:color w:val="auto"/>
          <w:sz w:val="24"/>
          <w:szCs w:val="24"/>
          <w:lang w:eastAsia="zh-CN"/>
        </w:rPr>
        <w:t>根据现场调研情况，</w:t>
      </w:r>
      <w:r>
        <w:rPr>
          <w:rFonts w:hint="eastAsia" w:ascii="宋体" w:hAnsi="宋体" w:eastAsia="宋体" w:cs="宋体"/>
          <w:color w:val="auto"/>
          <w:sz w:val="24"/>
          <w:szCs w:val="24"/>
          <w:lang w:eastAsia="zh-CN"/>
        </w:rPr>
        <w:t>按照采购人设定的建设目标，</w:t>
      </w:r>
      <w:r>
        <w:rPr>
          <w:rFonts w:hint="eastAsia" w:ascii="宋体" w:hAnsi="宋体" w:eastAsia="宋体" w:cs="宋体"/>
          <w:color w:val="auto"/>
          <w:sz w:val="24"/>
          <w:szCs w:val="24"/>
          <w:lang w:eastAsia="zh-CN"/>
        </w:rPr>
        <w:t>因地制宜</w:t>
      </w:r>
      <w:r>
        <w:rPr>
          <w:rFonts w:hint="eastAsia" w:ascii="宋体" w:hAnsi="宋体" w:eastAsia="宋体" w:cs="宋体"/>
          <w:color w:val="auto"/>
          <w:sz w:val="24"/>
          <w:szCs w:val="24"/>
          <w:lang w:eastAsia="zh-CN"/>
        </w:rPr>
        <w:t>的进行系统二次设计，</w:t>
      </w:r>
      <w:r>
        <w:rPr>
          <w:rFonts w:hint="eastAsia" w:ascii="宋体" w:hAnsi="宋体" w:eastAsia="宋体" w:cs="宋体"/>
          <w:color w:val="auto"/>
          <w:sz w:val="24"/>
          <w:szCs w:val="24"/>
          <w:lang w:eastAsia="zh-CN"/>
        </w:rPr>
        <w:t>选择技术先进、经济合理的技术或产品。</w:t>
      </w:r>
    </w:p>
    <w:p w14:paraId="3FC4415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1.2 </w:t>
      </w:r>
      <w:r>
        <w:rPr>
          <w:rFonts w:hint="eastAsia" w:ascii="宋体" w:hAnsi="宋体" w:eastAsia="宋体" w:cs="宋体"/>
          <w:color w:val="auto"/>
          <w:sz w:val="24"/>
          <w:szCs w:val="24"/>
          <w:lang w:eastAsia="zh-CN"/>
        </w:rPr>
        <w:t>节能改造须在不影响采购人所有秩序的前提下进行；如发生影响秩序的改造作业，采购人有权要求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eastAsia="zh-CN"/>
        </w:rPr>
        <w:t>随时停工。</w:t>
      </w:r>
    </w:p>
    <w:p w14:paraId="670B52D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 供应商</w:t>
      </w:r>
      <w:r>
        <w:rPr>
          <w:rFonts w:hint="eastAsia" w:ascii="宋体" w:hAnsi="宋体" w:eastAsia="宋体" w:cs="宋体"/>
          <w:color w:val="auto"/>
          <w:sz w:val="24"/>
          <w:szCs w:val="24"/>
          <w:lang w:eastAsia="zh-CN"/>
        </w:rPr>
        <w:t>应提出关于施工管理的措施及意见，包括安全、消防、治安保卫、场地清洁、绿化保护、现场管理等。特别应考虑施工期间安全问题，避免影响</w:t>
      </w:r>
      <w:r>
        <w:rPr>
          <w:rFonts w:hint="eastAsia" w:ascii="宋体" w:hAnsi="宋体" w:eastAsia="宋体" w:cs="宋体"/>
          <w:color w:val="auto"/>
          <w:sz w:val="24"/>
          <w:szCs w:val="24"/>
          <w:lang w:eastAsia="zh-CN"/>
        </w:rPr>
        <w:t>行政中心</w:t>
      </w:r>
      <w:r>
        <w:rPr>
          <w:rFonts w:hint="eastAsia" w:ascii="宋体" w:hAnsi="宋体" w:eastAsia="宋体" w:cs="宋体"/>
          <w:color w:val="auto"/>
          <w:sz w:val="24"/>
          <w:szCs w:val="24"/>
          <w:lang w:eastAsia="zh-CN"/>
        </w:rPr>
        <w:t>的正常</w:t>
      </w:r>
      <w:r>
        <w:rPr>
          <w:rFonts w:hint="eastAsia" w:ascii="宋体" w:hAnsi="宋体" w:eastAsia="宋体" w:cs="宋体"/>
          <w:color w:val="auto"/>
          <w:sz w:val="24"/>
          <w:szCs w:val="24"/>
          <w:lang w:eastAsia="zh-CN"/>
        </w:rPr>
        <w:t>秩序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eastAsia="zh-CN"/>
        </w:rPr>
        <w:t>进场后，应加强管理，做好安全、文明施工。</w:t>
      </w:r>
    </w:p>
    <w:p w14:paraId="3874D5D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1.4 从事现场改造施工的单位、现场施工项目负责人员及施工人员须按国家及行业要求具备相应资质。</w:t>
      </w:r>
    </w:p>
    <w:p w14:paraId="753CA8F7">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1.5 </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需要对原有主要耗能设备进行分项计量，使得项目节能效果可计量、可监测、可考核；</w:t>
      </w:r>
    </w:p>
    <w:p w14:paraId="332B025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1.6</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需要对主要耗能设备的能耗接入智慧后勤</w:t>
      </w:r>
      <w:r>
        <w:rPr>
          <w:rFonts w:hint="eastAsia" w:ascii="宋体" w:hAnsi="宋体" w:eastAsia="宋体" w:cs="宋体"/>
          <w:color w:val="auto"/>
          <w:sz w:val="24"/>
          <w:szCs w:val="24"/>
          <w:lang w:eastAsia="zh-CN"/>
        </w:rPr>
        <w:t>能源</w:t>
      </w:r>
      <w:r>
        <w:rPr>
          <w:rFonts w:hint="eastAsia" w:ascii="宋体" w:hAnsi="宋体" w:eastAsia="宋体" w:cs="宋体"/>
          <w:color w:val="auto"/>
          <w:sz w:val="24"/>
          <w:szCs w:val="24"/>
          <w:lang w:eastAsia="zh-CN"/>
        </w:rPr>
        <w:t>管理平台，可通过该平台对各设备的能效指标进行实时</w:t>
      </w:r>
      <w:r>
        <w:rPr>
          <w:rFonts w:hint="eastAsia" w:ascii="宋体" w:hAnsi="宋体" w:eastAsia="宋体" w:cs="宋体"/>
          <w:color w:val="auto"/>
          <w:sz w:val="24"/>
          <w:szCs w:val="24"/>
          <w:lang w:eastAsia="zh-CN"/>
        </w:rPr>
        <w:t>分析、</w:t>
      </w:r>
      <w:r>
        <w:rPr>
          <w:rFonts w:hint="eastAsia" w:ascii="宋体" w:hAnsi="宋体" w:eastAsia="宋体" w:cs="宋体"/>
          <w:color w:val="auto"/>
          <w:sz w:val="24"/>
          <w:szCs w:val="24"/>
          <w:lang w:eastAsia="zh-CN"/>
        </w:rPr>
        <w:t>监测，并由专人进行管理维护。</w:t>
      </w:r>
    </w:p>
    <w:p w14:paraId="1405B221">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w:t>
      </w:r>
      <w:r>
        <w:rPr>
          <w:rFonts w:hint="eastAsia" w:ascii="宋体" w:hAnsi="宋体" w:eastAsia="宋体" w:cs="宋体"/>
          <w:color w:val="auto"/>
          <w:sz w:val="24"/>
          <w:szCs w:val="24"/>
          <w:lang w:eastAsia="zh-CN"/>
        </w:rPr>
        <w:t xml:space="preserve"> 空调智能化改造，达到“空调系统改造施工达到规范要求”相关标准参照：《 通风与空调工程施工质量验收规范 》（GB50243-2012）。</w:t>
      </w:r>
    </w:p>
    <w:p w14:paraId="398F4C6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w:t>
      </w:r>
      <w:r>
        <w:rPr>
          <w:rFonts w:hint="eastAsia" w:ascii="宋体" w:hAnsi="宋体" w:eastAsia="宋体" w:cs="宋体"/>
          <w:color w:val="auto"/>
          <w:sz w:val="24"/>
          <w:szCs w:val="24"/>
          <w:lang w:eastAsia="zh-CN"/>
        </w:rPr>
        <w:t xml:space="preserve"> 为持续降低项目整体能耗水平，提高能源使用效率，中标人应在获得采购人的同意下，不断进行节能改造设备的投入。</w:t>
      </w:r>
    </w:p>
    <w:p w14:paraId="49727F34">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1.9</w:t>
      </w:r>
      <w:r>
        <w:rPr>
          <w:rFonts w:hint="eastAsia" w:ascii="宋体" w:hAnsi="宋体" w:eastAsia="宋体" w:cs="宋体"/>
          <w:color w:val="auto"/>
          <w:sz w:val="24"/>
          <w:szCs w:val="24"/>
          <w:lang w:eastAsia="zh-CN"/>
        </w:rPr>
        <w:t xml:space="preserve"> 施工过程中引起的安全事故均由中标人承担责任。</w:t>
      </w:r>
    </w:p>
    <w:p w14:paraId="4886D6C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lang w:eastAsia="zh-CN"/>
        </w:rPr>
        <w:t xml:space="preserve"> 如中标人施工、维护及运营等原因造成采购人内部装修或设施设备破坏的，中标人应当及时修复设施设备或破损部位，造成采购人损失的由中标人承担相应的赔偿责任。</w:t>
      </w:r>
    </w:p>
    <w:p w14:paraId="77EAE89C">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1 节能措施应符合《中华人民共和国节约能源法》《公共机构节能条例》及江西省、九江市公共机构节能管理相关法律法规、产业政策要求，以及工艺、设备等现行有效标准规范的规定；产品设计及设备安装应满足公共机构能源费用托管服务全流程技术要求，严格遵循《合同能源管理技术通则》（GB/T24915-2020），同时符合</w:t>
      </w:r>
      <w:r>
        <w:rPr>
          <w:rFonts w:hint="eastAsia" w:ascii="宋体" w:hAnsi="宋体" w:eastAsia="宋体" w:cs="宋体"/>
          <w:color w:val="auto"/>
          <w:sz w:val="24"/>
          <w:szCs w:val="24"/>
          <w:highlight w:val="none"/>
          <w:lang w:val="en-US" w:eastAsia="zh-CN"/>
        </w:rPr>
        <w:t>与本项目</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lang w:val="en-US" w:eastAsia="zh-CN"/>
        </w:rPr>
        <w:t>的所有</w:t>
      </w:r>
      <w:r>
        <w:rPr>
          <w:rFonts w:hint="eastAsia" w:ascii="宋体" w:hAnsi="宋体" w:eastAsia="宋体" w:cs="宋体"/>
          <w:color w:val="auto"/>
          <w:sz w:val="24"/>
          <w:szCs w:val="24"/>
          <w:highlight w:val="none"/>
          <w:lang w:eastAsia="zh-CN"/>
        </w:rPr>
        <w:t>规定</w:t>
      </w:r>
      <w:r>
        <w:rPr>
          <w:rFonts w:hint="eastAsia" w:ascii="宋体" w:hAnsi="宋体" w:eastAsia="宋体" w:cs="宋体"/>
          <w:color w:val="auto"/>
          <w:sz w:val="24"/>
          <w:szCs w:val="24"/>
          <w:highlight w:val="none"/>
          <w:lang w:val="en-US" w:eastAsia="zh-CN"/>
        </w:rPr>
        <w:t>或最新规定</w:t>
      </w:r>
      <w:r>
        <w:rPr>
          <w:rFonts w:hint="eastAsia" w:ascii="宋体" w:hAnsi="宋体" w:eastAsia="宋体" w:cs="宋体"/>
          <w:color w:val="auto"/>
          <w:sz w:val="24"/>
          <w:szCs w:val="24"/>
          <w:highlight w:val="none"/>
          <w:lang w:eastAsia="zh-CN"/>
        </w:rPr>
        <w:t>。</w:t>
      </w:r>
    </w:p>
    <w:p w14:paraId="09EA91B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eastAsia="zh-CN"/>
        </w:rPr>
        <w:t>2 项目的技术改造不能影响原设备的使用，并保证项目运行的安全性、可靠性。</w:t>
      </w:r>
    </w:p>
    <w:p w14:paraId="06E5332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w:t>
      </w:r>
      <w:r>
        <w:rPr>
          <w:rFonts w:hint="eastAsia" w:ascii="宋体" w:hAnsi="宋体" w:eastAsia="宋体" w:cs="宋体"/>
          <w:color w:val="auto"/>
          <w:sz w:val="24"/>
          <w:szCs w:val="24"/>
          <w:lang w:eastAsia="zh-CN"/>
        </w:rPr>
        <w:t>使用先进、节能的设备替换原有设备的实施项目，保证新投入设备必须要有符合国家规定的证明文件，满足采购人正常使用。</w:t>
      </w:r>
    </w:p>
    <w:p w14:paraId="21E87447">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2、空调智能控制系统</w:t>
      </w:r>
    </w:p>
    <w:p w14:paraId="6DC18D1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2.1 </w:t>
      </w:r>
      <w:r>
        <w:rPr>
          <w:rFonts w:hint="eastAsia" w:ascii="宋体" w:hAnsi="宋体" w:eastAsia="宋体" w:cs="宋体"/>
          <w:color w:val="auto"/>
          <w:sz w:val="24"/>
          <w:szCs w:val="24"/>
          <w:lang w:eastAsia="zh-CN"/>
        </w:rPr>
        <w:t>实时监测功能</w:t>
      </w:r>
    </w:p>
    <w:p w14:paraId="354EF8F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实时监测当前系统的基本运行状况、空调系统的运行能效、运行模式、优化提示和系统报警；显示冷机、冷冻水泵、冷机阀门、冷却塔阀门、水温传感器、压力传感器的运行状态、供回水温度、供回水压力、回水流量等参数；监测冷冻机房的能耗能效情况。</w:t>
      </w:r>
    </w:p>
    <w:p w14:paraId="31B1B907">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2.2 </w:t>
      </w:r>
      <w:r>
        <w:rPr>
          <w:rFonts w:hint="eastAsia" w:ascii="宋体" w:hAnsi="宋体" w:eastAsia="宋体" w:cs="宋体"/>
          <w:color w:val="auto"/>
          <w:sz w:val="24"/>
          <w:szCs w:val="24"/>
          <w:lang w:eastAsia="zh-CN"/>
        </w:rPr>
        <w:t>AI控制策略功能</w:t>
      </w:r>
    </w:p>
    <w:p w14:paraId="0A141C3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基于空调系统整体性能特性，多维寻优满足工艺设计及冷量需求下整个空调系统的最佳能效点，自动实现整个空调系统的控制，综合能耗最低点。系统的优化控制功能包括：冷水机组台数控制、冷水机组智能化喘振保护、冷机冷冻水供水温度优化设定；水泵台数控制、水泵变频控制、冷冻水压差及温差优化设定；冷站全自动加减机控制。</w:t>
      </w:r>
    </w:p>
    <w:p w14:paraId="408AEED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2.3 </w:t>
      </w:r>
      <w:r>
        <w:rPr>
          <w:rFonts w:hint="eastAsia" w:ascii="宋体" w:hAnsi="宋体" w:eastAsia="宋体" w:cs="宋体"/>
          <w:color w:val="auto"/>
          <w:sz w:val="24"/>
          <w:szCs w:val="24"/>
          <w:lang w:eastAsia="zh-CN"/>
        </w:rPr>
        <w:t>优化诊断功能</w:t>
      </w:r>
    </w:p>
    <w:p w14:paraId="2CF9F39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节能优化控制模块依据对系统主要设备及运行参数的实时采集与监控，可对空调系统运行的合理性和安全性的进行在线实时诊断，以保障系统设备的运行稳定，并延长设备运行寿命。优化诊断功能包括：设备启停频繁、冷冻水流量诊断等。</w:t>
      </w:r>
    </w:p>
    <w:p w14:paraId="0C03C6C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2.4 </w:t>
      </w:r>
      <w:r>
        <w:rPr>
          <w:rFonts w:hint="eastAsia" w:ascii="宋体" w:hAnsi="宋体" w:eastAsia="宋体" w:cs="宋体"/>
          <w:color w:val="auto"/>
          <w:sz w:val="24"/>
          <w:szCs w:val="24"/>
          <w:lang w:eastAsia="zh-CN"/>
        </w:rPr>
        <w:t>报警与保护功能</w:t>
      </w:r>
    </w:p>
    <w:p w14:paraId="07EC58C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节能优化控制模块具有完善保护控制功能，并且能够在系统或设备出现某种运行故障时，应及时的予以报警，以便用户和维护人员及时发现问题，恢复系统或设备的正常运行。系统报警保护功能包括：冷水机组智能化喘振保护、冷水机组智能故障诊断，当冷水机组发生故障、运行异常或效率低时，依据故障级别进行明确提示和报警。系统设置有保护逻辑，避免系统频繁加减回路、设备。系统具有冷冻水流量过小保护控制功能，当冷机变流量工作时，流量低于冷水机组允许值时，具备冷机保护回路及控制功能。还包括系统智能故障诊断、水泵防水锤开机曲线保护、冷机低流量保护、最小压差保护、管网水压过高保护、冷机冷冻水温度过低保护、冷机冷却水温度过高保护等。</w:t>
      </w:r>
    </w:p>
    <w:p w14:paraId="111626B5">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3、智慧能碳管理平台服务</w:t>
      </w:r>
    </w:p>
    <w:p w14:paraId="19D79684">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bookmarkStart w:id="0" w:name="_Toc148279467"/>
      <w:bookmarkStart w:id="1" w:name="_Toc148866652"/>
      <w:r>
        <w:rPr>
          <w:rFonts w:hint="eastAsia" w:ascii="宋体" w:hAnsi="宋体" w:eastAsia="宋体" w:cs="宋体"/>
          <w:color w:val="auto"/>
          <w:sz w:val="24"/>
          <w:szCs w:val="24"/>
          <w:lang w:eastAsia="zh-CN"/>
        </w:rPr>
        <w:t>3.1 建设综合能源服务体系</w:t>
      </w:r>
      <w:bookmarkEnd w:id="0"/>
      <w:bookmarkEnd w:id="1"/>
    </w:p>
    <w:p w14:paraId="7EB6189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在确定中标人后，需要中标人搭建瑞昌市公共机构智慧能碳管理平台，并投入本项目服务期内的的使用。供应商应充分理解本次综合能源托管服务项目内容，打造完善的综合能源服务体系。除满足相应的节能技术改造外，应具备完善的节能考核制度、节能监督制度、节能培训体系等。</w:t>
      </w:r>
    </w:p>
    <w:p w14:paraId="2ADA8CD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bookmarkStart w:id="2" w:name="_Toc148866653"/>
      <w:r>
        <w:rPr>
          <w:rFonts w:hint="eastAsia" w:ascii="宋体" w:hAnsi="宋体" w:eastAsia="宋体" w:cs="宋体"/>
          <w:color w:val="auto"/>
          <w:sz w:val="24"/>
          <w:szCs w:val="24"/>
          <w:lang w:eastAsia="zh-CN"/>
        </w:rPr>
        <w:t>3.2 技</w:t>
      </w:r>
      <w:r>
        <w:rPr>
          <w:rFonts w:hint="eastAsia" w:ascii="宋体" w:hAnsi="宋体" w:eastAsia="宋体" w:cs="宋体"/>
          <w:color w:val="auto"/>
          <w:sz w:val="24"/>
          <w:szCs w:val="24"/>
          <w:lang w:eastAsia="zh-CN"/>
        </w:rPr>
        <w:t>术需求</w:t>
      </w:r>
      <w:bookmarkEnd w:id="2"/>
    </w:p>
    <w:p w14:paraId="1D59ACE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每个用能单位须设置用能显示屏，对用能单位</w:t>
      </w:r>
      <w:r>
        <w:rPr>
          <w:rFonts w:hint="eastAsia" w:ascii="宋体" w:hAnsi="宋体" w:eastAsia="宋体" w:cs="宋体"/>
          <w:color w:val="auto"/>
          <w:sz w:val="24"/>
          <w:szCs w:val="24"/>
          <w:lang w:eastAsia="zh-CN"/>
        </w:rPr>
        <w:t>进行能碳数据监控，主要包括包含：概览、碳排放统计、碳排放强度统计、用能结构分布、用能统计、综合能</w:t>
      </w:r>
      <w:r>
        <w:rPr>
          <w:rFonts w:hint="eastAsia" w:ascii="宋体" w:hAnsi="宋体" w:eastAsia="宋体" w:cs="宋体"/>
          <w:color w:val="auto"/>
          <w:sz w:val="24"/>
          <w:szCs w:val="24"/>
          <w:highlight w:val="none"/>
          <w:lang w:eastAsia="zh-CN"/>
        </w:rPr>
        <w:t>耗统计等。</w:t>
      </w:r>
    </w:p>
    <w:p w14:paraId="144B1ED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3.2.1 综能大屏</w:t>
      </w:r>
    </w:p>
    <w:p w14:paraId="20EB00C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显示各站点信息，变压器数量，设备数量，报警概况，运维工单概况，碳排放数据及电量数据。也可以根据项目需求进行定制化开发。</w:t>
      </w:r>
    </w:p>
    <w:p w14:paraId="728A0153">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bookmarkStart w:id="3" w:name="_Toc10936"/>
      <w:bookmarkStart w:id="4" w:name="_Toc16557"/>
      <w:r>
        <w:rPr>
          <w:rFonts w:hint="eastAsia" w:ascii="宋体" w:hAnsi="宋体" w:eastAsia="宋体" w:cs="宋体"/>
          <w:color w:val="auto"/>
          <w:sz w:val="24"/>
          <w:szCs w:val="24"/>
          <w:highlight w:val="none"/>
          <w:lang w:eastAsia="zh-CN"/>
        </w:rPr>
        <w:t>3.2.2 综能大屏</w:t>
      </w:r>
      <w:bookmarkEnd w:id="3"/>
      <w:bookmarkEnd w:id="4"/>
    </w:p>
    <w:p w14:paraId="3361B2F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展示用户绘制并上传的电气组态图，支持与数据进行关联，并提供动画效果和事件响应功能。用户可以通过交互式操作，实时查看电气设备的状态变化、执行动态动画，并触发特定事件，提升系统的可视化与操作体验</w:t>
      </w:r>
    </w:p>
    <w:p w14:paraId="461C1B54">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3.2.3 </w:t>
      </w:r>
      <w:r>
        <w:rPr>
          <w:rFonts w:hint="eastAsia" w:ascii="宋体" w:hAnsi="宋体" w:eastAsia="宋体" w:cs="宋体"/>
          <w:color w:val="auto"/>
          <w:sz w:val="24"/>
          <w:szCs w:val="24"/>
          <w:lang w:eastAsia="zh-CN"/>
        </w:rPr>
        <w:t>站点概况</w:t>
      </w:r>
    </w:p>
    <w:p w14:paraId="3F513EA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全面查看所选单个配电站点的各类监控数据，包括用能趋势、最大负荷、功率因数、月均负荷率等重要指标。通过这些数据，用户能够直观了解配电站点的能耗变化、负荷波动情况，并及时发现潜在的能效问题或异常，帮助进行优化管理和决策</w:t>
      </w:r>
      <w:r>
        <w:rPr>
          <w:rFonts w:hint="eastAsia" w:ascii="宋体" w:hAnsi="宋体" w:eastAsia="宋体" w:cs="宋体"/>
          <w:color w:val="auto"/>
          <w:sz w:val="24"/>
          <w:szCs w:val="24"/>
          <w:lang w:eastAsia="zh-CN"/>
        </w:rPr>
        <w:t>。</w:t>
      </w:r>
    </w:p>
    <w:p w14:paraId="2ADE78E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bookmarkStart w:id="5" w:name="_Toc15184"/>
      <w:bookmarkStart w:id="6" w:name="_Toc5758"/>
      <w:bookmarkStart w:id="7" w:name="_Toc662"/>
      <w:r>
        <w:rPr>
          <w:rFonts w:hint="eastAsia" w:ascii="宋体" w:hAnsi="宋体" w:eastAsia="宋体" w:cs="宋体"/>
          <w:color w:val="auto"/>
          <w:sz w:val="24"/>
          <w:szCs w:val="24"/>
          <w:lang w:eastAsia="zh-CN"/>
        </w:rPr>
        <w:t>3.2</w:t>
      </w: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实时监测</w:t>
      </w:r>
      <w:bookmarkEnd w:id="5"/>
      <w:bookmarkEnd w:id="6"/>
      <w:bookmarkEnd w:id="7"/>
    </w:p>
    <w:p w14:paraId="33D0C14F">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显示各站点所有设备的实时状态，并展示每个设备所采集的实时数据。用户可以通过点击“更多”选项，查看单个设备的详细数据，包括历史数据、性能指标、故障记录等信息，从而更精确地进行设备监控和故障排查。此功能帮助用户实时掌握设备的运行情况，确保设备稳定运行并及时发现潜在问题。</w:t>
      </w:r>
    </w:p>
    <w:p w14:paraId="6A94BE8D">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3.2.5 电量统计</w:t>
      </w:r>
    </w:p>
    <w:p w14:paraId="675F12A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展示关联站点下各回路的分项电量数据，包括尖、峰、平、谷等不同电价时段的用电量。通过直观的图表，用户可以清晰地看到各回路在不同时间段的电量消耗情况，并分析用电模式。此功能有助于优化用电策略，降低电费成本，尤其是在尖峰时段的电量管理上，帮助用户合理调度能源使用，并提高能源利用效率。</w:t>
      </w:r>
    </w:p>
    <w:p w14:paraId="455C161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bookmarkStart w:id="8" w:name="_Toc14363"/>
      <w:bookmarkStart w:id="9" w:name="_Toc30350"/>
      <w:bookmarkStart w:id="10" w:name="_Toc4978"/>
      <w:r>
        <w:rPr>
          <w:rFonts w:hint="eastAsia" w:ascii="宋体" w:hAnsi="宋体" w:eastAsia="宋体" w:cs="宋体"/>
          <w:color w:val="auto"/>
          <w:sz w:val="24"/>
          <w:szCs w:val="24"/>
          <w:lang w:eastAsia="zh-CN"/>
        </w:rPr>
        <w:t>3.2.6 电费统计</w:t>
      </w:r>
      <w:bookmarkEnd w:id="8"/>
      <w:bookmarkEnd w:id="9"/>
      <w:bookmarkEnd w:id="10"/>
    </w:p>
    <w:p w14:paraId="78C866BD">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展示关联站点下各回路的分项电费监控数据，前提是该站点已配置电价方案。通过该功能，用户可以查看不同回路在各个电价时段（如尖、峰、平、谷等）的电费消耗情况。此信息有助于用户实时监控和优化用电成本，尤其是在高电价时段进行负荷管理或调整运行策略，从而有效降低电费支出。数据可视化展示让用户更清晰地了解各回路的电费变化，并为节能降耗提供有力依据。</w:t>
      </w:r>
    </w:p>
    <w:p w14:paraId="3B1A609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bookmarkStart w:id="11" w:name="_Toc29780"/>
      <w:r>
        <w:rPr>
          <w:rFonts w:hint="eastAsia" w:ascii="宋体" w:hAnsi="宋体" w:eastAsia="宋体" w:cs="宋体"/>
          <w:color w:val="auto"/>
          <w:sz w:val="24"/>
          <w:szCs w:val="24"/>
          <w:lang w:eastAsia="zh-CN"/>
        </w:rPr>
        <w:t>3.2.7 电量预测</w:t>
      </w:r>
      <w:bookmarkEnd w:id="11"/>
    </w:p>
    <w:p w14:paraId="7DF7508C">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根据AI算法计算并显示站点的预测用电量与实际用电量，用户能够清晰地看到预测用电量与实际用电量之间的差异，从而帮助发现能效问题、优化用电策略，提高能源管理的效率与准确性。</w:t>
      </w:r>
    </w:p>
    <w:p w14:paraId="13D9FBB4">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bookmarkStart w:id="12" w:name="_Toc29006"/>
      <w:bookmarkStart w:id="13" w:name="_Toc10143"/>
      <w:bookmarkStart w:id="14" w:name="_Toc20404"/>
      <w:r>
        <w:rPr>
          <w:rFonts w:hint="eastAsia" w:ascii="宋体" w:hAnsi="宋体" w:eastAsia="宋体" w:cs="宋体"/>
          <w:color w:val="auto"/>
          <w:sz w:val="24"/>
          <w:szCs w:val="24"/>
          <w:lang w:eastAsia="zh-CN"/>
        </w:rPr>
        <w:t>3.2.8 用能报表</w:t>
      </w:r>
      <w:bookmarkEnd w:id="12"/>
      <w:bookmarkEnd w:id="13"/>
      <w:bookmarkEnd w:id="14"/>
    </w:p>
    <w:p w14:paraId="2C99F12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汇总并展示所选站点的用能数据，生成一张综合的用能报表。通过这一功能，用户不仅可以快速掌握各站点的整体用能情况，还能够识别出潜在的用能不合理或高耗能的问题，进一步优化能源管理，提高资源配置效率，助力实现更加科学的能源调度与成本控制。</w:t>
      </w:r>
    </w:p>
    <w:p w14:paraId="28C5009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3.2.9 运维管理</w:t>
      </w:r>
    </w:p>
    <w:p w14:paraId="28B48D21">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台提供了全面的“智慧运维”人员权限管理功能，用户可以根据实际需求，灵活配置不同人员的权限等级和操作范围。通过此功能，能够精确控制每个用户在系统中的访问权限，确保各项运维操作仅限于授权人员执行，避免信息泄露或操作失误。既能提升运维团队的协作效率，也保障了系统的安全性与稳定性，确保所有人员在各自职责范围内高效开展工作。</w:t>
      </w:r>
    </w:p>
    <w:p w14:paraId="3196F08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3.2.10 报警管理</w:t>
      </w:r>
    </w:p>
    <w:p w14:paraId="06960DBD">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可查看单个或多个站点实时未操作报警信息的功能，旨在帮助管理员高效监控平台各站点的异常状态。管理员可以通过该页面即时获取未处理的报警数据，详细查看每个站点的报警类型、发生时间、报警级别及相关具体信息。支持按站点、时间、报警类型等多维度进行筛选，方便快速定位和处理各类紧急情况。此外，页面还提供了实时更新的报警信息流，确保管理员能够第一时间掌握各站点的运行状态并及时响应。通过此功能，管理员能够轻松监控和管理多个站点的安全状况，优化报警信息的处理流程，提升平台整体运营的安全性和稳定性。</w:t>
      </w:r>
    </w:p>
    <w:p w14:paraId="4599C2F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可查看单个或多个站点历史已操作报警信息的功能，帮助管理员全面回顾和分析平台各设备的报警处理情况。管理员可以查看每条历史报警的详细记录，包括报警发生的时间、报警类型、处理时间、处理结果及责任人等关键信息。通过筛选功能，管理员能够按站点、时间范围、报警类型等多个维度进行精准检索，轻松查找特定报警事件的处理过程与结论。通过历史报警信息的查看，管理员可以识别潜在的安全隐患和处理瓶颈，优化报警管理流程，提升整体系统的稳定性与响应速度。</w:t>
      </w:r>
    </w:p>
    <w:p w14:paraId="36D90CC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3.2.11 用户管理</w:t>
      </w:r>
    </w:p>
    <w:p w14:paraId="3FCC8EC7">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供配置账号信息的功能，允许用户管理其个人或企业账号的基本资料、关联站点以及平台登录时显示的左上角Logo图片。用户可以通过该界面方便地更新和修改账号信息，包括用户名、联系方式、权限设置等；同时，支持将账号与一个或多个站点进行关联。通过上传自定义Logo，用户能够个性化定制登录后页面的视觉效果，提升品牌形象和用户体验。该功能不仅增强了账户管理的灵活性，还提供了视觉和操作上的一致性，方便用户高效地管理平台与站点的使用。可根据角色重要性设置不同的权限。</w:t>
      </w:r>
    </w:p>
    <w:p w14:paraId="258E49A0">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4、智慧照明管控</w:t>
      </w:r>
    </w:p>
    <w:p w14:paraId="5EAB5717">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对所有公共机构办公照明，楼道路灯、车库照明灯进行整理管控，可远程进行开关，配合声音感应和人体感应进行节能管理。</w:t>
      </w:r>
    </w:p>
    <w:p w14:paraId="6E38F0A2">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公共照明管理系统应在保障正常照明的同时，降低人工巡检成本，让操作更便捷，管理更高效。</w:t>
      </w:r>
    </w:p>
    <w:p w14:paraId="19746A8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通过日程管理模块，可以对照明设置定时开关。根据实际照明需求，不同区域的照明可设置不同的开关灯时间。</w:t>
      </w:r>
    </w:p>
    <w:p w14:paraId="22281B5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4.4 多终端、分区域管理。每个区域根据需求，可设置多名管理员;管理员通过电脑、平板、智能手机等多种终端，通过WIFI、移动网络、宽带网络等连接灯光控制系统，随时随地监测照明设备状态，及时处理照明问题。</w:t>
      </w:r>
    </w:p>
    <w:p w14:paraId="77AE491F">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4.5 建设软启功能，通过集中控制器或简单按键，调节智能灯光照亮度。开灯时，灯光由暗渐渐变亮;关灯时，灯光由亮渐渐变暗，避免亮度的突然变化刺激眼睛。同时避免大电流和高温的突变对灯丝的冲击，保护灯具，使光源寿命延长2-4倍。</w:t>
      </w:r>
    </w:p>
    <w:p w14:paraId="74382D02">
      <w:pPr>
        <w:keepNext w:val="0"/>
        <w:keepLines w:val="0"/>
        <w:pageBreakBefore w:val="0"/>
        <w:tabs>
          <w:tab w:val="left" w:pos="567"/>
        </w:tabs>
        <w:kinsoku w:val="0"/>
        <w:wordWrap/>
        <w:overflowPunct/>
        <w:topLinePunct w:val="0"/>
        <w:autoSpaceDE w:val="0"/>
        <w:autoSpaceDN w:val="0"/>
        <w:bidi w:val="0"/>
        <w:adjustRightInd w:val="0"/>
        <w:snapToGrid w:val="0"/>
        <w:spacing w:before="240" w:after="240" w:line="360" w:lineRule="auto"/>
        <w:ind w:firstLine="482" w:firstLineChars="200"/>
        <w:textAlignment w:val="baseline"/>
        <w:outlineLvl w:val="1"/>
        <w:rPr>
          <w:rFonts w:hint="eastAsia" w:ascii="宋体" w:hAnsi="宋体" w:eastAsia="宋体" w:cs="宋体"/>
          <w:b/>
          <w:bCs/>
          <w:color w:val="auto"/>
          <w:sz w:val="24"/>
          <w:szCs w:val="24"/>
          <w:lang w:eastAsia="zh-CN"/>
        </w:rPr>
      </w:pPr>
      <w:bookmarkStart w:id="15" w:name="_Toc148866654"/>
      <w:bookmarkStart w:id="16" w:name="_Toc220405649"/>
      <w:r>
        <w:rPr>
          <w:rFonts w:hint="eastAsia" w:ascii="宋体" w:hAnsi="宋体" w:eastAsia="宋体" w:cs="宋体"/>
          <w:b/>
          <w:bCs/>
          <w:color w:val="auto"/>
          <w:sz w:val="24"/>
          <w:szCs w:val="24"/>
          <w:lang w:eastAsia="zh-CN"/>
        </w:rPr>
        <w:t>（三）其他服务</w:t>
      </w:r>
      <w:bookmarkEnd w:id="15"/>
      <w:r>
        <w:rPr>
          <w:rFonts w:hint="eastAsia" w:ascii="宋体" w:hAnsi="宋体" w:eastAsia="宋体" w:cs="宋体"/>
          <w:b/>
          <w:bCs/>
          <w:color w:val="auto"/>
          <w:sz w:val="24"/>
          <w:szCs w:val="24"/>
          <w:lang w:eastAsia="zh-CN"/>
        </w:rPr>
        <w:t>需求</w:t>
      </w:r>
      <w:bookmarkEnd w:id="16"/>
    </w:p>
    <w:p w14:paraId="2A23A495">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1、</w:t>
      </w:r>
      <w:r>
        <w:rPr>
          <w:rFonts w:hint="eastAsia" w:ascii="宋体" w:hAnsi="宋体" w:eastAsia="宋体" w:cs="宋体"/>
          <w:b/>
          <w:color w:val="auto"/>
          <w:sz w:val="24"/>
          <w:szCs w:val="24"/>
          <w:lang w:eastAsia="zh-CN"/>
        </w:rPr>
        <w:t>运行维护</w:t>
      </w:r>
    </w:p>
    <w:p w14:paraId="346DAF89">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eastAsia="zh-CN"/>
        </w:rPr>
        <w:t>.1 供应商</w:t>
      </w:r>
      <w:r>
        <w:rPr>
          <w:rFonts w:hint="eastAsia" w:ascii="宋体" w:hAnsi="宋体" w:eastAsia="宋体" w:cs="宋体"/>
          <w:color w:val="auto"/>
          <w:sz w:val="24"/>
          <w:szCs w:val="24"/>
          <w:lang w:eastAsia="zh-CN"/>
        </w:rPr>
        <w:t>应设专门的服务管理部门，快速响应要求，投标文件中应列出具体响应方式及保障措施。</w:t>
      </w:r>
    </w:p>
    <w:p w14:paraId="6EF3F894">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eastAsia="zh-CN"/>
        </w:rPr>
        <w:t xml:space="preserve">.2 </w:t>
      </w:r>
      <w:r>
        <w:rPr>
          <w:rFonts w:hint="eastAsia" w:ascii="宋体" w:hAnsi="宋体" w:eastAsia="宋体" w:cs="宋体"/>
          <w:color w:val="auto"/>
          <w:sz w:val="24"/>
          <w:szCs w:val="24"/>
          <w:lang w:eastAsia="zh-CN"/>
        </w:rPr>
        <w:t>项目中改造、加装或更换的设备设施的质保，在托管期内均由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eastAsia="zh-CN"/>
        </w:rPr>
        <w:t>负责。</w:t>
      </w:r>
    </w:p>
    <w:p w14:paraId="20942F7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eastAsia="zh-CN"/>
        </w:rPr>
        <w:t>.3 运维中涉及到的特种作业人员须持证上岗。</w:t>
      </w:r>
    </w:p>
    <w:p w14:paraId="6FEEB3A3">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2、</w:t>
      </w:r>
      <w:r>
        <w:rPr>
          <w:rFonts w:hint="eastAsia" w:ascii="宋体" w:hAnsi="宋体" w:eastAsia="宋体" w:cs="宋体"/>
          <w:b/>
          <w:color w:val="auto"/>
          <w:sz w:val="24"/>
          <w:szCs w:val="24"/>
          <w:lang w:eastAsia="zh-CN"/>
        </w:rPr>
        <w:t>驻场运维</w:t>
      </w:r>
      <w:r>
        <w:rPr>
          <w:rFonts w:hint="eastAsia" w:ascii="宋体" w:hAnsi="宋体" w:eastAsia="宋体" w:cs="宋体"/>
          <w:b/>
          <w:color w:val="auto"/>
          <w:sz w:val="24"/>
          <w:szCs w:val="24"/>
          <w:lang w:eastAsia="zh-CN"/>
        </w:rPr>
        <w:t>服务</w:t>
      </w:r>
    </w:p>
    <w:p w14:paraId="336E5D44">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中标人在托管过程中须安排经采购人认可的不少于6名驻场运维人员并支付其薪酬和相关各项待遇(包括社保等)，薪酬待遇须符合国家薪酬政策。中标人须保证驻场人员有的稳定性，不得随意换人</w:t>
      </w:r>
      <w:r>
        <w:rPr>
          <w:rFonts w:hint="eastAsia" w:ascii="宋体" w:hAnsi="宋体" w:eastAsia="宋体" w:cs="宋体"/>
          <w:color w:val="auto"/>
          <w:sz w:val="24"/>
          <w:szCs w:val="24"/>
          <w:lang w:eastAsia="zh-CN"/>
        </w:rPr>
        <w:t>，驻场场地应设在瑞昌市市区且有固定办公场所。</w:t>
      </w:r>
    </w:p>
    <w:p w14:paraId="2BFCC6A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2.2 </w:t>
      </w:r>
      <w:r>
        <w:rPr>
          <w:rFonts w:hint="eastAsia" w:ascii="宋体" w:hAnsi="宋体" w:eastAsia="宋体" w:cs="宋体"/>
          <w:color w:val="auto"/>
          <w:sz w:val="24"/>
          <w:szCs w:val="24"/>
          <w:lang w:eastAsia="zh-CN"/>
        </w:rPr>
        <w:t>驻场运维人员要遵守采购人各项管理规定，如有不服从采购人管理的或派驻人员无法达到岗位要求的，采购人有权要求中标人及时更换人员，中标人应在一个月内更换到位，逾期不替换的每逾期一天处罚中标人500元。托管期间驻场运维人员发生的人身伤亡事故均由中标人负责。</w:t>
      </w:r>
    </w:p>
    <w:p w14:paraId="1B5DE36A">
      <w:pPr>
        <w:pStyle w:val="2"/>
        <w:keepNext w:val="0"/>
        <w:keepLines w:val="0"/>
        <w:pageBreakBefore w:val="0"/>
        <w:kinsoku w:val="0"/>
        <w:wordWrap/>
        <w:overflowPunct/>
        <w:topLinePunct w:val="0"/>
        <w:autoSpaceDE w:val="0"/>
        <w:autoSpaceDN w:val="0"/>
        <w:bidi w:val="0"/>
        <w:adjustRightInd w:val="0"/>
        <w:snapToGrid w:val="0"/>
        <w:spacing w:before="240"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3、服务标准</w:t>
      </w:r>
    </w:p>
    <w:p w14:paraId="7BEA1ED0">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 服务管理</w:t>
      </w:r>
    </w:p>
    <w:p w14:paraId="5FAD1270">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3.1.1 供应商负责采购需求中服务内容清单中的所有工作，服从采购人监管。</w:t>
      </w:r>
    </w:p>
    <w:p w14:paraId="0DA93CB7">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3.1.2 供应商应制定完备的空调系统、生活热水系统的运行管理章程，配备足够的技术人员，按照采购人运营要求，严格执行值班制。</w:t>
      </w:r>
    </w:p>
    <w:p w14:paraId="308AECC8">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3.1.3 供应商负责所有水系统主管网巡查工作，发现漏点及时维修。如供应商巡查未能及时发现问题，则漏水水费由供应商自己承担。</w:t>
      </w:r>
    </w:p>
    <w:p w14:paraId="5CAA8640">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 维保管理</w:t>
      </w:r>
    </w:p>
    <w:p w14:paraId="14ED3E0A">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3.2.1 供应商应按照采购需求，接管范围内的维保服务。</w:t>
      </w:r>
    </w:p>
    <w:p w14:paraId="6C71B19D">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3.2.2 供应商应确保能源托管负责项目内容稳定供应并设立报修电话，必须24小时应答响应。工作时间接到报修指令10分钟内到达报修故障设备现场，非工作时间接到报修指令30分钟内到达现场，并在规定的时间内完成维修工作，小维修2小时内解决；大维修需要更换配件6小时内解决问题，如本地没有配件需从外地调配的48小时内解决问题。如每个年度内出现人员没有及时到位或解决问题不及时的有1次给予供应商警告，3次（含3次）以上每有1次给予供应商500-1000元处罚。（如有延期，需向采购人说明原因）。</w:t>
      </w:r>
    </w:p>
    <w:p w14:paraId="60B7C5C6">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3.2.3 供应商应按公共机构中央空调系统管理要求，按季度提供保养及维护计划，按月度提供设备保养巡检记录，日常保养维护、巡检记录。</w:t>
      </w:r>
    </w:p>
    <w:p w14:paraId="052B32F2">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3.2.4 供应商应提供本次合同管理范围内各类保障设备运行故障的应急预案，以确保在项目实施期间行政中心24小时保障的需求。</w:t>
      </w:r>
    </w:p>
    <w:p w14:paraId="654E249C">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 服务要求</w:t>
      </w:r>
    </w:p>
    <w:p w14:paraId="01DF6571">
      <w:pPr>
        <w:pStyle w:val="2"/>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3.3.1供应商具有相关项目经验，</w:t>
      </w:r>
      <w:r>
        <w:rPr>
          <w:rFonts w:hint="eastAsia" w:ascii="宋体" w:hAnsi="宋体" w:eastAsia="宋体" w:cs="宋体"/>
          <w:color w:val="auto"/>
          <w:sz w:val="24"/>
          <w:szCs w:val="24"/>
          <w:highlight w:val="none"/>
          <w:lang w:eastAsia="zh-CN"/>
        </w:rPr>
        <w:t>团队及人员具有相关的</w:t>
      </w:r>
      <w:r>
        <w:rPr>
          <w:rFonts w:hint="eastAsia" w:ascii="宋体" w:hAnsi="宋体" w:eastAsia="宋体" w:cs="宋体"/>
          <w:color w:val="auto"/>
          <w:sz w:val="24"/>
          <w:szCs w:val="24"/>
          <w:highlight w:val="none"/>
          <w:lang w:val="en-US" w:eastAsia="zh-CN"/>
        </w:rPr>
        <w:t>从业资质</w:t>
      </w:r>
      <w:r>
        <w:rPr>
          <w:rFonts w:hint="eastAsia" w:ascii="宋体" w:hAnsi="宋体" w:eastAsia="宋体" w:cs="宋体"/>
          <w:color w:val="auto"/>
          <w:sz w:val="24"/>
          <w:szCs w:val="24"/>
          <w:highlight w:val="none"/>
          <w:lang w:eastAsia="zh-CN"/>
        </w:rPr>
        <w:t>。</w:t>
      </w:r>
    </w:p>
    <w:p w14:paraId="724361AF">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lang w:eastAsia="zh-CN"/>
        </w:rPr>
        <w:t>原有设备设施拆除</w:t>
      </w:r>
    </w:p>
    <w:p w14:paraId="1E077B47">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原有设备、设施及材料拆除由中标人负责，拆除后放到采购人指定地点，交由采购人保管，所有拆除的设备、设施、材料的所有权属于采购人，由采购人按照固定资产报废规定进行集中处理。</w:t>
      </w:r>
    </w:p>
    <w:p w14:paraId="20111136">
      <w:pPr>
        <w:keepNext w:val="0"/>
        <w:keepLines w:val="0"/>
        <w:pageBreakBefore w:val="0"/>
        <w:tabs>
          <w:tab w:val="left" w:pos="567"/>
        </w:tabs>
        <w:kinsoku w:val="0"/>
        <w:wordWrap/>
        <w:overflowPunct/>
        <w:topLinePunct w:val="0"/>
        <w:autoSpaceDE w:val="0"/>
        <w:autoSpaceDN w:val="0"/>
        <w:bidi w:val="0"/>
        <w:adjustRightInd w:val="0"/>
        <w:snapToGrid w:val="0"/>
        <w:spacing w:before="240" w:after="240" w:line="360" w:lineRule="auto"/>
        <w:ind w:firstLine="482" w:firstLineChars="200"/>
        <w:textAlignment w:val="baseline"/>
        <w:outlineLvl w:val="1"/>
        <w:rPr>
          <w:rFonts w:hint="eastAsia" w:ascii="宋体" w:hAnsi="宋体" w:eastAsia="宋体" w:cs="宋体"/>
          <w:b/>
          <w:bCs/>
          <w:color w:val="auto"/>
          <w:sz w:val="24"/>
          <w:szCs w:val="24"/>
          <w:lang w:eastAsia="zh-CN"/>
        </w:rPr>
      </w:pPr>
      <w:bookmarkStart w:id="17" w:name="_Toc220405650"/>
      <w:r>
        <w:rPr>
          <w:rFonts w:hint="eastAsia" w:ascii="宋体" w:hAnsi="宋体" w:eastAsia="宋体" w:cs="宋体"/>
          <w:b/>
          <w:bCs/>
          <w:color w:val="auto"/>
          <w:sz w:val="24"/>
          <w:szCs w:val="24"/>
          <w:lang w:eastAsia="zh-CN"/>
        </w:rPr>
        <w:t>（四）节能目标</w:t>
      </w:r>
      <w:bookmarkEnd w:id="17"/>
    </w:p>
    <w:p w14:paraId="49CE03DB">
      <w:pPr>
        <w:keepNext w:val="0"/>
        <w:keepLines w:val="0"/>
        <w:pageBreakBefore w:val="0"/>
        <w:tabs>
          <w:tab w:val="left" w:pos="1184"/>
        </w:tabs>
        <w:kinsoku w:val="0"/>
        <w:wordWrap/>
        <w:overflowPunct/>
        <w:topLinePunct w:val="0"/>
        <w:autoSpaceDE w:val="0"/>
        <w:autoSpaceDN w:val="0"/>
        <w:bidi w:val="0"/>
        <w:adjustRightInd w:val="0"/>
        <w:snapToGrid w:val="0"/>
        <w:spacing w:before="1" w:line="360" w:lineRule="auto"/>
        <w:ind w:firstLine="482" w:firstLineChars="200"/>
        <w:textAlignment w:val="baseline"/>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u w:val="single"/>
          <w:lang w:eastAsia="zh-CN"/>
        </w:rPr>
        <w:t>1.在满足同等需求或达到同等目标的前提下，托管期间的年</w:t>
      </w:r>
      <w:r>
        <w:rPr>
          <w:rFonts w:hint="eastAsia" w:ascii="宋体" w:hAnsi="宋体" w:eastAsia="宋体" w:cs="宋体"/>
          <w:b/>
          <w:bCs/>
          <w:color w:val="auto"/>
          <w:sz w:val="24"/>
          <w:szCs w:val="24"/>
          <w:u w:val="single"/>
          <w:lang w:eastAsia="zh-CN"/>
        </w:rPr>
        <w:t>综合</w:t>
      </w:r>
      <w:r>
        <w:rPr>
          <w:rFonts w:hint="eastAsia" w:ascii="宋体" w:hAnsi="宋体" w:eastAsia="宋体" w:cs="宋体"/>
          <w:b/>
          <w:bCs/>
          <w:color w:val="auto"/>
          <w:sz w:val="24"/>
          <w:szCs w:val="24"/>
          <w:u w:val="single"/>
          <w:lang w:eastAsia="zh-CN"/>
        </w:rPr>
        <w:t>节能量与能源基准之比至少应达到</w:t>
      </w:r>
      <w:r>
        <w:rPr>
          <w:rFonts w:hint="eastAsia" w:ascii="宋体" w:hAnsi="宋体" w:eastAsia="宋体" w:cs="宋体"/>
          <w:b/>
          <w:bCs/>
          <w:color w:val="auto"/>
          <w:sz w:val="24"/>
          <w:szCs w:val="24"/>
          <w:u w:val="single"/>
          <w:lang w:eastAsia="zh-CN"/>
        </w:rPr>
        <w:t>6</w:t>
      </w:r>
      <w:r>
        <w:rPr>
          <w:rFonts w:hint="eastAsia" w:ascii="宋体" w:hAnsi="宋体" w:eastAsia="宋体" w:cs="宋体"/>
          <w:b/>
          <w:bCs/>
          <w:color w:val="auto"/>
          <w:sz w:val="24"/>
          <w:szCs w:val="24"/>
          <w:u w:val="single"/>
          <w:lang w:eastAsia="zh-CN"/>
        </w:rPr>
        <w:t>%（节能率，最终节能率以中标人承诺的为准），如果不能实现，则视为中标人根本违约。年节能率 = 年节能量（节约的能耗换算成标煤）与能源基准（2025年耗能平均值换算成标煤）之比。</w:t>
      </w:r>
    </w:p>
    <w:p w14:paraId="7F76CE15">
      <w:pPr>
        <w:keepNext w:val="0"/>
        <w:keepLines w:val="0"/>
        <w:pageBreakBefore w:val="0"/>
        <w:tabs>
          <w:tab w:val="left" w:pos="1184"/>
        </w:tabs>
        <w:kinsoku w:val="0"/>
        <w:wordWrap/>
        <w:overflowPunct/>
        <w:topLinePunct w:val="0"/>
        <w:autoSpaceDE w:val="0"/>
        <w:autoSpaceDN w:val="0"/>
        <w:bidi w:val="0"/>
        <w:adjustRightInd w:val="0"/>
        <w:snapToGrid w:val="0"/>
        <w:spacing w:before="1"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 如果在托管期间需要进行中期评估或托管结束时进行节能效果评估，可以委托第三方评估。节能效果评估和能源审计原则上由同一个机构进行，该项费用由中标人承担。</w:t>
      </w:r>
    </w:p>
    <w:p w14:paraId="0BCD008E">
      <w:pPr>
        <w:keepNext w:val="0"/>
        <w:keepLines w:val="0"/>
        <w:pageBreakBefore w:val="0"/>
        <w:tabs>
          <w:tab w:val="left" w:pos="567"/>
        </w:tabs>
        <w:kinsoku w:val="0"/>
        <w:wordWrap/>
        <w:overflowPunct/>
        <w:topLinePunct w:val="0"/>
        <w:autoSpaceDE w:val="0"/>
        <w:autoSpaceDN w:val="0"/>
        <w:bidi w:val="0"/>
        <w:adjustRightInd w:val="0"/>
        <w:snapToGrid w:val="0"/>
        <w:spacing w:before="240" w:after="240" w:line="360" w:lineRule="auto"/>
        <w:ind w:firstLine="482" w:firstLineChars="200"/>
        <w:textAlignment w:val="baseline"/>
        <w:outlineLvl w:val="1"/>
        <w:rPr>
          <w:rFonts w:hint="eastAsia" w:ascii="宋体" w:hAnsi="宋体" w:eastAsia="宋体" w:cs="宋体"/>
          <w:b/>
          <w:bCs/>
          <w:color w:val="auto"/>
          <w:sz w:val="24"/>
          <w:szCs w:val="24"/>
          <w:lang w:eastAsia="zh-CN"/>
        </w:rPr>
      </w:pPr>
      <w:bookmarkStart w:id="18" w:name="_Toc220405651"/>
      <w:r>
        <w:rPr>
          <w:rFonts w:hint="eastAsia" w:ascii="宋体" w:hAnsi="宋体" w:eastAsia="宋体" w:cs="宋体"/>
          <w:b/>
          <w:bCs/>
          <w:color w:val="auto"/>
          <w:sz w:val="24"/>
          <w:szCs w:val="24"/>
          <w:lang w:eastAsia="zh-CN"/>
        </w:rPr>
        <w:t>（五）考核标准</w:t>
      </w:r>
      <w:bookmarkEnd w:id="18"/>
    </w:p>
    <w:p w14:paraId="529B040D">
      <w:pPr>
        <w:keepNext w:val="0"/>
        <w:keepLines w:val="0"/>
        <w:pageBreakBefore w:val="0"/>
        <w:tabs>
          <w:tab w:val="left" w:pos="1184"/>
        </w:tabs>
        <w:kinsoku w:val="0"/>
        <w:wordWrap/>
        <w:overflowPunct/>
        <w:topLinePunct w:val="0"/>
        <w:autoSpaceDE w:val="0"/>
        <w:autoSpaceDN w:val="0"/>
        <w:bidi w:val="0"/>
        <w:adjustRightInd w:val="0"/>
        <w:snapToGrid w:val="0"/>
        <w:spacing w:before="1"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1.考核周期：中标人出具季度和年度能源运行报告，采购人接收报告后进行季度考核，在下一托管年度第一个月进行年度考核。</w:t>
      </w:r>
    </w:p>
    <w:p w14:paraId="1FF756F8">
      <w:pPr>
        <w:keepNext w:val="0"/>
        <w:keepLines w:val="0"/>
        <w:pageBreakBefore w:val="0"/>
        <w:tabs>
          <w:tab w:val="left" w:pos="1184"/>
        </w:tabs>
        <w:kinsoku w:val="0"/>
        <w:wordWrap/>
        <w:overflowPunct/>
        <w:topLinePunct w:val="0"/>
        <w:autoSpaceDE w:val="0"/>
        <w:autoSpaceDN w:val="0"/>
        <w:bidi w:val="0"/>
        <w:adjustRightInd w:val="0"/>
        <w:snapToGrid w:val="0"/>
        <w:spacing w:before="1"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2.服务与质量并重原则。中标人按照服务标准、中标人义务的要求，由采购人每季度按照</w:t>
      </w:r>
      <w:bookmarkStart w:id="19" w:name="OLE_LINK1"/>
      <w:r>
        <w:rPr>
          <w:rFonts w:hint="eastAsia" w:ascii="宋体" w:hAnsi="宋体" w:eastAsia="宋体" w:cs="宋体"/>
          <w:color w:val="auto"/>
          <w:sz w:val="24"/>
          <w:szCs w:val="24"/>
          <w:lang w:eastAsia="zh-CN"/>
        </w:rPr>
        <w:t>《合同能源管理项目服务质量考核表》和《合同能源管理项目管理人员考核表》</w:t>
      </w:r>
      <w:bookmarkEnd w:id="19"/>
      <w:r>
        <w:rPr>
          <w:rFonts w:hint="eastAsia" w:ascii="宋体" w:hAnsi="宋体" w:eastAsia="宋体" w:cs="宋体"/>
          <w:color w:val="auto"/>
          <w:sz w:val="24"/>
          <w:szCs w:val="24"/>
          <w:lang w:eastAsia="zh-CN"/>
        </w:rPr>
        <w:t>负责考核。考核低于80分的，中标人须进行整改且采购人有权在当季度结算费用中扣除3万元作为处罚；考核不合格（低于70分以下）的且中标人不进行整改的，采购人有权解除合同。</w:t>
      </w:r>
    </w:p>
    <w:p w14:paraId="6ED01F50">
      <w:pPr>
        <w:keepNext w:val="0"/>
        <w:keepLines w:val="0"/>
        <w:pageBreakBefore w:val="0"/>
        <w:tabs>
          <w:tab w:val="left" w:pos="1184"/>
        </w:tabs>
        <w:kinsoku w:val="0"/>
        <w:wordWrap/>
        <w:overflowPunct/>
        <w:topLinePunct w:val="0"/>
        <w:autoSpaceDE w:val="0"/>
        <w:autoSpaceDN w:val="0"/>
        <w:bidi w:val="0"/>
        <w:adjustRightInd w:val="0"/>
        <w:snapToGrid w:val="0"/>
        <w:spacing w:before="1"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3.每季度累计接到三次投诉，经核实确实存在过失的，采购人向中标人提出书面警告一次，中标人需立即作出整改，同时扣除中标人当季度结算费用的1‰。</w:t>
      </w:r>
    </w:p>
    <w:p w14:paraId="414E3B3F">
      <w:pPr>
        <w:keepNext w:val="0"/>
        <w:keepLines w:val="0"/>
        <w:pageBreakBefore w:val="0"/>
        <w:tabs>
          <w:tab w:val="left" w:pos="1184"/>
        </w:tabs>
        <w:kinsoku w:val="0"/>
        <w:wordWrap/>
        <w:overflowPunct/>
        <w:topLinePunct w:val="0"/>
        <w:autoSpaceDE w:val="0"/>
        <w:autoSpaceDN w:val="0"/>
        <w:bidi w:val="0"/>
        <w:adjustRightInd w:val="0"/>
        <w:snapToGrid w:val="0"/>
        <w:spacing w:before="1"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4.如发生采购人向中标人提出书面警告二次后，中标人仍拒不整改或整改后仍不达标，则采购人有权终止合同。</w:t>
      </w:r>
    </w:p>
    <w:p w14:paraId="7143AB0A">
      <w:pPr>
        <w:keepNext w:val="0"/>
        <w:keepLines w:val="0"/>
        <w:pageBreakBefore w:val="0"/>
        <w:tabs>
          <w:tab w:val="left" w:pos="1184"/>
        </w:tabs>
        <w:kinsoku w:val="0"/>
        <w:wordWrap/>
        <w:overflowPunct/>
        <w:topLinePunct w:val="0"/>
        <w:autoSpaceDE w:val="0"/>
        <w:autoSpaceDN w:val="0"/>
        <w:bidi w:val="0"/>
        <w:adjustRightInd w:val="0"/>
        <w:snapToGrid w:val="0"/>
        <w:spacing w:before="1"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5.在满足同等需求或达到同等目标的前提下，托管期间内每年对综合节能率进行考核，年节能量与能源基准之比应不低于</w:t>
      </w:r>
      <w:r>
        <w:rPr>
          <w:rFonts w:hint="eastAsia" w:ascii="宋体" w:hAnsi="宋体" w:eastAsia="宋体" w:cs="宋体"/>
          <w:color w:val="auto"/>
          <w:sz w:val="24"/>
          <w:szCs w:val="24"/>
          <w:u w:val="single"/>
          <w:lang w:eastAsia="zh-CN"/>
        </w:rPr>
        <w:t xml:space="preserve"> 6</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节能率，最终数据以中标人承诺的节能率为准），如果不能实现，每降低一个百分点采购人扣除1%年度托管费用，在每个托管年度最后一个季度支付能源费用时扣除（不足百分之一部分四舍五入保留两位小数按实际比例扣除）。如有3年的节能率未达到承诺节能率的、且前期总平均节能率也未达中标人承诺的节能率的（改造中的项目第1年不计），采购人有权解除合同，中标人所投设备设施等所有权归采购人所有，</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lang w:eastAsia="zh-CN"/>
        </w:rPr>
        <w:t>不得据此主张任何款项或费用，并且必须配合办理各项移交和手续办理。</w:t>
      </w:r>
    </w:p>
    <w:p w14:paraId="4C057F97">
      <w:pPr>
        <w:keepNext w:val="0"/>
        <w:keepLines w:val="0"/>
        <w:pageBreakBefore w:val="0"/>
        <w:tabs>
          <w:tab w:val="left" w:pos="1184"/>
        </w:tabs>
        <w:kinsoku w:val="0"/>
        <w:wordWrap/>
        <w:overflowPunct/>
        <w:topLinePunct w:val="0"/>
        <w:autoSpaceDE w:val="0"/>
        <w:autoSpaceDN w:val="0"/>
        <w:bidi w:val="0"/>
        <w:adjustRightInd w:val="0"/>
        <w:snapToGrid w:val="0"/>
        <w:spacing w:before="1"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lang w:eastAsia="zh-CN"/>
        </w:rPr>
        <w:t>.如中标人未按照项目方案规定的时间和要求完成项目的改造工作（不可抗力或采购人的直接原因造成的工期延期时间除外），每延期一天，中标人应向采购人支付1000元的违约金。</w:t>
      </w:r>
    </w:p>
    <w:p w14:paraId="021D7C1F">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lang w:eastAsia="zh-CN"/>
        </w:rPr>
        <w:t>.如每个年度内出现人员没有及时到位或解决问题不及时的有1次给予中标人警告，3次（含3次）以上每有1次给予中标人500-1000元处罚。（如有延期，需向采购人说明原因）。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358E9"/>
    <w:rsid w:val="05E14B73"/>
    <w:rsid w:val="07E861C7"/>
    <w:rsid w:val="45A16E61"/>
    <w:rsid w:val="552358E9"/>
    <w:rsid w:val="5ADA0490"/>
    <w:rsid w:val="6DC46BBB"/>
    <w:rsid w:val="7E2A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0"/>
      <w:szCs w:val="30"/>
    </w:r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2026-01-28T08:55:00Z</dcterms:created>
  <dc:creator>TTT</dc:creator>
  <cp:lastModifiedBy>TTT</cp:lastModifiedBy>
  <dcterms:modified xsi:type="dcterms:W3CDTF">2026-01-28T08:57:02Z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26A2A6B5C1044E308D795365BB86FB62_11</vt:lpwstr>
  </property>
  <property fmtid="{D5CDD505-2E9C-101B-9397-08002B2CF9AE}" pid="4" name="KSOTemplateDocerSaveRecord">
    <vt:lpwstr>eyJoZGlkIjoiYzZhODQzOGM2ZGRhNzJjYWE1MWJmNzZiZjgzMTA4NTkiLCJ1c2VySWQiOiIyMzczNzE0NzMifQ==</vt:lpwstr>
  </property>
</Properties>
</file>